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60"/>
        <w:jc w:val="left"/>
        <w:tblLayout w:type="fixed"/>
        <w:tblLook w:firstColumn="1" w:firstRow="1" w:lastColumn="0" w:lastRow="0" w:noHBand="0" w:noVBand="1" w:val="04A0"/>
        <w:tblInd w:w="120" w:type="dxa"/>
      </w:tblPr>
      <w:tblGrid>
        <w:gridCol w:w="1900"/>
        <w:gridCol w:w="7460"/>
      </w:tblGrid>
      <w:tr>
        <w:tc>
          <w:tcPr>
            <w:tcW w:type="dxa" w:w="1900"/>
            <w:vAlign w:val="center"/>
            <w:tcMar>
              <w:top w:w="180" w:type="dxa"/>
              <w:start w:w="180" w:type="dxa"/>
              <w:bottom w:w="180" w:type="dxa"/>
              <w:end w:w="180" w:type="dxa"/>
            </w:tcMar>
            <w:shd w:fill="07172B"/>
            <w:tcBorders>
              <w:top w:val="single" w:sz="6" w:color="07172B"/>
              <w:left w:val="single" w:sz="6" w:color="07172B"/>
              <w:bottom w:val="single" w:sz="6" w:color="07172B"/>
              <w:right w:val="single" w:sz="6" w:color="07172B"/>
            </w:tcBorders>
          </w:tcPr>
          <w:p>
            <w:pPr>
              <w:spacing w:after="0"/>
              <w:jc w:val="center"/>
            </w:pPr>
            <w:r>
              <w:drawing>
                <wp:inline xmlns:a="http://schemas.openxmlformats.org/drawingml/2006/main" xmlns:pic="http://schemas.openxmlformats.org/drawingml/2006/picture">
                  <wp:extent cx="713232" cy="713232"/>
                  <wp:docPr id="1" name="Picture 1" descr="Vertexes Advisory emblem" title="Vertexes Advisory"/>
                  <wp:cNvGraphicFramePr>
                    <a:graphicFrameLocks noChangeAspect="1"/>
                  </wp:cNvGraphicFramePr>
                  <a:graphic>
                    <a:graphicData uri="http://schemas.openxmlformats.org/drawingml/2006/picture">
                      <pic:pic>
                        <pic:nvPicPr>
                          <pic:cNvPr id="0" name="vertexes-emblem-platinum-v2.png"/>
                          <pic:cNvPicPr/>
                        </pic:nvPicPr>
                        <pic:blipFill>
                          <a:blip r:embed="rId11"/>
                          <a:stretch>
                            <a:fillRect/>
                          </a:stretch>
                        </pic:blipFill>
                        <pic:spPr>
                          <a:xfrm>
                            <a:off x="0" y="0"/>
                            <a:ext cx="713232" cy="713232"/>
                          </a:xfrm>
                          <a:prstGeom prst="rect"/>
                        </pic:spPr>
                      </pic:pic>
                    </a:graphicData>
                  </a:graphic>
                </wp:inline>
              </w:drawing>
            </w:r>
          </w:p>
        </w:tc>
        <w:tc>
          <w:tcPr>
            <w:tcW w:type="dxa" w:w="7460"/>
            <w:vAlign w:val="center"/>
            <w:tcMar>
              <w:top w:w="180" w:type="dxa"/>
              <w:start w:w="180" w:type="dxa"/>
              <w:bottom w:w="180" w:type="dxa"/>
              <w:end w:w="180" w:type="dxa"/>
            </w:tcMar>
            <w:shd w:fill="07172B"/>
            <w:tcBorders>
              <w:top w:val="single" w:sz="6" w:color="07172B"/>
              <w:left w:val="single" w:sz="6" w:color="07172B"/>
              <w:bottom w:val="single" w:sz="6" w:color="07172B"/>
              <w:right w:val="single" w:sz="6" w:color="07172B"/>
            </w:tcBorders>
          </w:tcPr>
          <w:p>
            <w:pPr>
              <w:keepNext w:val="0"/>
              <w:spacing w:before="0" w:after="40" w:line="240" w:lineRule="auto"/>
              <w:jc w:val="right"/>
              <w:bidi/>
            </w:pPr>
            <w:r>
              <w:rPr>
                <w:rFonts w:ascii="DejaVu Sans" w:hAnsi="DejaVu Sans" w:cs="DejaVu Sans"/>
                <w:b/>
                <w:i w:val="0"/>
                <w:color w:val="C9A85F"/>
                <w:sz w:val="16"/>
                <w:rtl/>
              </w:rPr>
              <w:t>ILLUSTRATIVE COMPLETED CONSULTATION</w:t>
            </w:r>
          </w:p>
          <w:p>
            <w:pPr>
              <w:keepNext w:val="0"/>
              <w:spacing w:before="0" w:after="40" w:line="276" w:lineRule="auto"/>
              <w:jc w:val="right"/>
              <w:bidi/>
            </w:pPr>
            <w:r>
              <w:rPr>
                <w:rFonts w:ascii="DejaVu Sans" w:hAnsi="DejaVu Sans" w:cs="DejaVu Sans"/>
                <w:b/>
                <w:i w:val="0"/>
                <w:color w:val="FFFFFF"/>
                <w:sz w:val="38"/>
                <w:rtl/>
              </w:rPr>
              <w:t>التقييم الأولي للجدوى والحوكمة لمشروع مركز خدمات لوجستية</w:t>
            </w:r>
          </w:p>
          <w:p>
            <w:pPr>
              <w:keepNext w:val="0"/>
              <w:spacing w:before="0" w:after="120" w:line="240" w:lineRule="auto"/>
              <w:jc w:val="right"/>
              <w:bidi/>
            </w:pPr>
            <w:r>
              <w:rPr>
                <w:rFonts w:ascii="DejaVu Sans" w:hAnsi="DejaVu Sans" w:cs="DejaVu Sans"/>
                <w:b/>
                <w:i w:val="0"/>
                <w:color w:val="D5DEE4"/>
                <w:sz w:val="18"/>
                <w:rtl/>
              </w:rPr>
              <w:t>Preliminary Feasibility &amp; Governance Assessment for a Logistics Service Center</w:t>
            </w:r>
          </w:p>
          <w:p>
            <w:pPr>
              <w:keepNext w:val="0"/>
              <w:spacing w:before="0" w:after="0" w:line="240" w:lineRule="auto"/>
              <w:jc w:val="right"/>
              <w:bidi/>
            </w:pPr>
            <w:r>
              <w:rPr>
                <w:rFonts w:ascii="DejaVu Sans" w:hAnsi="DejaVu Sans" w:cs="DejaVu Sans"/>
                <w:b w:val="0"/>
                <w:i w:val="0"/>
                <w:color w:val="B9C5CC"/>
                <w:sz w:val="17"/>
                <w:rtl/>
              </w:rPr>
              <w:t>مثال افتراضي  |  غير صالح للاعتماد  |  21 أغسطس 2026</w:t>
            </w:r>
          </w:p>
        </w:tc>
      </w:tr>
    </w:tbl>
    <w:p>
      <w:pPr>
        <w:keepNext w:val="0"/>
        <w:spacing w:before="0" w:after="80" w:line="240" w:lineRule="auto"/>
        <w:jc w:val="right"/>
        <w:bidi/>
      </w:pP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30" w:type="dxa"/>
              <w:start w:w="180" w:type="dxa"/>
              <w:bottom w:w="130" w:type="dxa"/>
              <w:end w:w="180" w:type="dxa"/>
            </w:tcMar>
            <w:shd w:fill="FFF3F0"/>
            <w:tcBorders>
              <w:right w:val="single" w:sz="8" w:color="8F2F2F"/>
            </w:tcBorders>
          </w:tcPr>
          <w:p>
            <w:pPr>
              <w:keepNext w:val="0"/>
              <w:spacing w:before="0" w:after="40" w:line="276" w:lineRule="auto"/>
              <w:jc w:val="right"/>
              <w:bidi/>
            </w:pPr>
            <w:r>
              <w:rPr>
                <w:rFonts w:ascii="DejaVu Sans" w:hAnsi="DejaVu Sans" w:cs="DejaVu Sans"/>
                <w:b/>
                <w:i w:val="0"/>
                <w:color w:val="07172B"/>
                <w:sz w:val="19"/>
                <w:rtl/>
              </w:rPr>
              <w:t>تنبيه إلزامي</w:t>
            </w:r>
          </w:p>
          <w:p>
            <w:pPr>
              <w:keepNext w:val="0"/>
              <w:spacing w:before="0" w:after="0" w:line="300" w:lineRule="auto"/>
              <w:jc w:val="right"/>
              <w:bidi/>
            </w:pPr>
            <w:r>
              <w:rPr>
                <w:rFonts w:ascii="DejaVu Sans" w:hAnsi="DejaVu Sans" w:cs="DejaVu Sans"/>
                <w:b w:val="0"/>
                <w:i w:val="0"/>
                <w:color w:val="152735"/>
                <w:sz w:val="17"/>
                <w:rtl/>
              </w:rPr>
              <w:t>حالة افتراضية لأغراض العرض فقط - لا تمثل عميلاً أو مشروعاً حقيقياً، ولا يجوز الاعتماد عليها كتقرير مهني نهائي أو كبديل عن الدراسة الفنية أو الاقتصادية أو القانونية المتخصصة.</w:t>
            </w:r>
          </w:p>
        </w:tc>
      </w:tr>
    </w:tbl>
    <w:p>
      <w:pPr>
        <w:keepNext w:val="0"/>
        <w:spacing w:before="0" w:after="40" w:line="240" w:lineRule="auto"/>
        <w:jc w:val="right"/>
        <w:bidi/>
      </w:pPr>
    </w:p>
    <w:p>
      <w:pPr>
        <w:pStyle w:val="Heading1"/>
        <w:keepNext/>
        <w:spacing w:before="360" w:after="80" w:line="264" w:lineRule="auto"/>
        <w:jc w:val="right"/>
        <w:bidi/>
      </w:pPr>
      <w:r>
        <w:rPr>
          <w:rFonts w:ascii="DejaVu Sans" w:hAnsi="DejaVu Sans" w:cs="DejaVu Sans"/>
          <w:b/>
          <w:i w:val="0"/>
          <w:color w:val="07172B"/>
          <w:sz w:val="32"/>
          <w:rtl/>
        </w:rPr>
        <w:t>01  ملخص الطلب</w:t>
      </w:r>
    </w:p>
    <w:p>
      <w:pPr>
        <w:keepNext/>
        <w:spacing w:before="0" w:after="160" w:line="240" w:lineRule="auto"/>
        <w:jc w:val="right"/>
        <w:bidi/>
      </w:pPr>
      <w:r>
        <w:rPr>
          <w:rFonts w:ascii="DejaVu Sans" w:hAnsi="DejaVu Sans" w:cs="DejaVu Sans"/>
          <w:b/>
          <w:i w:val="0"/>
          <w:color w:val="C9A85F"/>
          <w:sz w:val="15"/>
          <w:rtl/>
        </w:rPr>
        <w:t>ENGAGEMENT SNAPSHOT</w:t>
      </w:r>
    </w:p>
    <w:tbl>
      <w:tblPr>
        <w:tblW w:type="dxa" w:w="9360"/>
        <w:jc w:val="left"/>
        <w:tblLayout w:type="fixed"/>
        <w:tblLook w:firstColumn="1" w:firstRow="1" w:lastColumn="0" w:lastRow="0" w:noHBand="0" w:noVBand="1" w:val="04A0"/>
        <w:tblInd w:w="120" w:type="dxa"/>
      </w:tblPr>
      <w:tblGrid>
        <w:gridCol w:w="2650"/>
        <w:gridCol w:w="6710"/>
      </w:tblGrid>
      <w:tr>
        <w:tc>
          <w:tcPr>
            <w:tcW w:type="dxa" w:w="2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i w:val="0"/>
                <w:color w:val="07172B"/>
                <w:sz w:val="16"/>
                <w:rtl/>
              </w:rPr>
              <w:t>طالب الاستشارة</w:t>
              <w:br/>
              <w:t>Applicant</w:t>
            </w:r>
          </w:p>
        </w:tc>
        <w:tc>
          <w:tcPr>
            <w:tcW w:type="dxa" w:w="671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8"/>
                <w:rtl/>
              </w:rPr>
              <w:t>مستثمر افتراضي - ليس عميلاً حقيقياً</w:t>
            </w:r>
          </w:p>
        </w:tc>
      </w:tr>
    </w:tbl>
    <w:p>
      <w:pPr>
        <w:keepNext w:val="0"/>
        <w:spacing w:before="0" w:after="20" w:line="240" w:lineRule="auto"/>
        <w:jc w:val="right"/>
        <w:bidi/>
      </w:pPr>
    </w:p>
    <w:tbl>
      <w:tblPr>
        <w:tblW w:type="dxa" w:w="9360"/>
        <w:jc w:val="left"/>
        <w:tblLayout w:type="fixed"/>
        <w:tblLook w:firstColumn="1" w:firstRow="1" w:lastColumn="0" w:lastRow="0" w:noHBand="0" w:noVBand="1" w:val="04A0"/>
        <w:tblInd w:w="120" w:type="dxa"/>
      </w:tblPr>
      <w:tblGrid>
        <w:gridCol w:w="2650"/>
        <w:gridCol w:w="6710"/>
      </w:tblGrid>
      <w:tr>
        <w:tc>
          <w:tcPr>
            <w:tcW w:type="dxa" w:w="2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i w:val="0"/>
                <w:color w:val="07172B"/>
                <w:sz w:val="16"/>
                <w:rtl/>
              </w:rPr>
              <w:t>الموقع</w:t>
              <w:br/>
              <w:t>Location</w:t>
            </w:r>
          </w:p>
        </w:tc>
        <w:tc>
          <w:tcPr>
            <w:tcW w:type="dxa" w:w="671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8"/>
                <w:rtl/>
              </w:rPr>
              <w:t>موقع افتراضي في العراق</w:t>
            </w:r>
          </w:p>
        </w:tc>
      </w:tr>
    </w:tbl>
    <w:p>
      <w:pPr>
        <w:keepNext w:val="0"/>
        <w:spacing w:before="0" w:after="20" w:line="240" w:lineRule="auto"/>
        <w:jc w:val="right"/>
        <w:bidi/>
      </w:pPr>
    </w:p>
    <w:tbl>
      <w:tblPr>
        <w:tblW w:type="dxa" w:w="9360"/>
        <w:jc w:val="left"/>
        <w:tblLayout w:type="fixed"/>
        <w:tblLook w:firstColumn="1" w:firstRow="1" w:lastColumn="0" w:lastRow="0" w:noHBand="0" w:noVBand="1" w:val="04A0"/>
        <w:tblInd w:w="120" w:type="dxa"/>
      </w:tblPr>
      <w:tblGrid>
        <w:gridCol w:w="2650"/>
        <w:gridCol w:w="6710"/>
      </w:tblGrid>
      <w:tr>
        <w:tc>
          <w:tcPr>
            <w:tcW w:type="dxa" w:w="2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i w:val="0"/>
                <w:color w:val="07172B"/>
                <w:sz w:val="16"/>
                <w:rtl/>
              </w:rPr>
              <w:t>المجال</w:t>
              <w:br/>
              <w:t>Advisory area</w:t>
            </w:r>
          </w:p>
        </w:tc>
        <w:tc>
          <w:tcPr>
            <w:tcW w:type="dxa" w:w="671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8"/>
                <w:rtl/>
              </w:rPr>
              <w:t>جدوى اقتصادية + حوكمة مشروع + دعم تخطيطي</w:t>
            </w:r>
          </w:p>
        </w:tc>
      </w:tr>
    </w:tbl>
    <w:p>
      <w:pPr>
        <w:keepNext w:val="0"/>
        <w:spacing w:before="0" w:after="20" w:line="240" w:lineRule="auto"/>
        <w:jc w:val="right"/>
        <w:bidi/>
      </w:pPr>
    </w:p>
    <w:tbl>
      <w:tblPr>
        <w:tblW w:type="dxa" w:w="9360"/>
        <w:jc w:val="left"/>
        <w:tblLayout w:type="fixed"/>
        <w:tblLook w:firstColumn="1" w:firstRow="1" w:lastColumn="0" w:lastRow="0" w:noHBand="0" w:noVBand="1" w:val="04A0"/>
        <w:tblInd w:w="120" w:type="dxa"/>
      </w:tblPr>
      <w:tblGrid>
        <w:gridCol w:w="2650"/>
        <w:gridCol w:w="6710"/>
      </w:tblGrid>
      <w:tr>
        <w:tc>
          <w:tcPr>
            <w:tcW w:type="dxa" w:w="2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i w:val="0"/>
                <w:color w:val="07172B"/>
                <w:sz w:val="16"/>
                <w:rtl/>
              </w:rPr>
              <w:t>موضوع القرار</w:t>
              <w:br/>
              <w:t>Decision question</w:t>
            </w:r>
          </w:p>
        </w:tc>
        <w:tc>
          <w:tcPr>
            <w:tcW w:type="dxa" w:w="671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8"/>
                <w:rtl/>
              </w:rPr>
              <w:t>هل ينفذ مركز خدمات لوجستية افتراضي بمساحة 20,000 م² دفعة واحدة أم على مراحل؟</w:t>
            </w:r>
          </w:p>
        </w:tc>
      </w:tr>
    </w:tbl>
    <w:p>
      <w:pPr>
        <w:keepNext w:val="0"/>
        <w:spacing w:before="0" w:after="20" w:line="240" w:lineRule="auto"/>
        <w:jc w:val="right"/>
        <w:bidi/>
      </w:pPr>
    </w:p>
    <w:tbl>
      <w:tblPr>
        <w:tblW w:type="dxa" w:w="9360"/>
        <w:jc w:val="left"/>
        <w:tblLayout w:type="fixed"/>
        <w:tblLook w:firstColumn="1" w:firstRow="1" w:lastColumn="0" w:lastRow="0" w:noHBand="0" w:noVBand="1" w:val="04A0"/>
        <w:tblInd w:w="120" w:type="dxa"/>
      </w:tblPr>
      <w:tblGrid>
        <w:gridCol w:w="2650"/>
        <w:gridCol w:w="6710"/>
      </w:tblGrid>
      <w:tr>
        <w:tc>
          <w:tcPr>
            <w:tcW w:type="dxa" w:w="2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i w:val="0"/>
                <w:color w:val="07172B"/>
                <w:sz w:val="16"/>
                <w:rtl/>
              </w:rPr>
              <w:t>المرحلة</w:t>
              <w:br/>
              <w:t>Current stage</w:t>
            </w:r>
          </w:p>
        </w:tc>
        <w:tc>
          <w:tcPr>
            <w:tcW w:type="dxa" w:w="671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8"/>
                <w:rtl/>
              </w:rPr>
              <w:t>ما قبل دراسة الجدوى</w:t>
            </w:r>
          </w:p>
        </w:tc>
      </w:tr>
    </w:tbl>
    <w:p>
      <w:pPr>
        <w:keepNext w:val="0"/>
        <w:spacing w:before="0" w:after="20" w:line="240" w:lineRule="auto"/>
        <w:jc w:val="right"/>
        <w:bidi/>
      </w:pPr>
    </w:p>
    <w:tbl>
      <w:tblPr>
        <w:tblW w:type="dxa" w:w="9360"/>
        <w:jc w:val="left"/>
        <w:tblLayout w:type="fixed"/>
        <w:tblLook w:firstColumn="1" w:firstRow="1" w:lastColumn="0" w:lastRow="0" w:noHBand="0" w:noVBand="1" w:val="04A0"/>
        <w:tblInd w:w="120" w:type="dxa"/>
      </w:tblPr>
      <w:tblGrid>
        <w:gridCol w:w="2650"/>
        <w:gridCol w:w="6710"/>
      </w:tblGrid>
      <w:tr>
        <w:tc>
          <w:tcPr>
            <w:tcW w:type="dxa" w:w="2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i w:val="0"/>
                <w:color w:val="07172B"/>
                <w:sz w:val="16"/>
                <w:rtl/>
              </w:rPr>
              <w:t>المخرج المطلوب</w:t>
              <w:br/>
              <w:t>Requested output</w:t>
            </w:r>
          </w:p>
        </w:tc>
        <w:tc>
          <w:tcPr>
            <w:tcW w:type="dxa" w:w="671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8"/>
                <w:rtl/>
              </w:rPr>
              <w:t>مذكرة قرار أولية وخطة عمل لمدة 90 يوماً</w:t>
            </w:r>
          </w:p>
        </w:tc>
      </w:tr>
    </w:tbl>
    <w:p>
      <w:pPr>
        <w:keepNext w:val="0"/>
        <w:spacing w:before="0" w:after="20" w:line="240" w:lineRule="auto"/>
        <w:jc w:val="right"/>
        <w:bidi/>
      </w:pP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30" w:type="dxa"/>
              <w:start w:w="180" w:type="dxa"/>
              <w:bottom w:w="130" w:type="dxa"/>
              <w:end w:w="180" w:type="dxa"/>
            </w:tcMar>
            <w:shd w:fill="EEF6F2"/>
            <w:tcBorders>
              <w:right w:val="single" w:sz="8" w:color="245A51"/>
            </w:tcBorders>
          </w:tcPr>
          <w:p>
            <w:pPr>
              <w:keepNext w:val="0"/>
              <w:spacing w:before="0" w:after="40" w:line="276" w:lineRule="auto"/>
              <w:jc w:val="right"/>
              <w:bidi/>
            </w:pPr>
            <w:r>
              <w:rPr>
                <w:rFonts w:ascii="DejaVu Sans" w:hAnsi="DejaVu Sans" w:cs="DejaVu Sans"/>
                <w:b/>
                <w:i w:val="0"/>
                <w:color w:val="07172B"/>
                <w:sz w:val="19"/>
                <w:rtl/>
              </w:rPr>
              <w:t>الرأي التنفيذي المختصر</w:t>
            </w:r>
          </w:p>
          <w:p>
            <w:pPr>
              <w:keepNext w:val="0"/>
              <w:spacing w:before="0" w:after="0" w:line="300" w:lineRule="auto"/>
              <w:jc w:val="right"/>
              <w:bidi/>
            </w:pPr>
            <w:r>
              <w:rPr>
                <w:rFonts w:ascii="DejaVu Sans" w:hAnsi="DejaVu Sans" w:cs="DejaVu Sans"/>
                <w:b w:val="0"/>
                <w:i w:val="0"/>
                <w:color w:val="152735"/>
                <w:sz w:val="17"/>
                <w:rtl/>
              </w:rPr>
              <w:t>لا يُنصح بالالتزام بالتنفيذ الكامل قبل استكمال مرحلة تحقق ما قبل التنفيذ. البديل الأنسب للدراسة هو التنفيذ المرحلي بعد إثبات الطلب، سلامة الوضع التخطيطي، جاهزية البنية التحتية، ودقة تقدير الكلفة.</w:t>
            </w:r>
          </w:p>
        </w:tc>
      </w:tr>
    </w:tbl>
    <w:p>
      <w:pPr>
        <w:keepNext w:val="0"/>
        <w:spacing w:before="0" w:after="40" w:line="240" w:lineRule="auto"/>
        <w:jc w:val="right"/>
        <w:bidi/>
      </w:pPr>
    </w:p>
    <w:p>
      <w:r>
        <w:br w:type="page"/>
      </w:r>
    </w:p>
    <w:p>
      <w:pPr>
        <w:pStyle w:val="Heading1"/>
        <w:keepNext/>
        <w:spacing w:before="360" w:after="80" w:line="264" w:lineRule="auto"/>
        <w:jc w:val="right"/>
        <w:bidi/>
      </w:pPr>
      <w:r>
        <w:rPr>
          <w:rFonts w:ascii="DejaVu Sans" w:hAnsi="DejaVu Sans" w:cs="DejaVu Sans"/>
          <w:b/>
          <w:i w:val="0"/>
          <w:color w:val="07172B"/>
          <w:sz w:val="32"/>
          <w:rtl/>
        </w:rPr>
        <w:t>02  المعطيات المتاحة ونطاق المراجعة</w:t>
      </w:r>
    </w:p>
    <w:p>
      <w:pPr>
        <w:keepNext/>
        <w:spacing w:before="0" w:after="160" w:line="240" w:lineRule="auto"/>
        <w:jc w:val="right"/>
        <w:bidi/>
      </w:pPr>
      <w:r>
        <w:rPr>
          <w:rFonts w:ascii="DejaVu Sans" w:hAnsi="DejaVu Sans" w:cs="DejaVu Sans"/>
          <w:b/>
          <w:i w:val="0"/>
          <w:color w:val="C9A85F"/>
          <w:sz w:val="15"/>
          <w:rtl/>
        </w:rPr>
        <w:t>INPUTS &amp; REVIEW SCOPE</w:t>
      </w:r>
    </w:p>
    <w:tbl>
      <w:tblPr>
        <w:tblW w:type="dxa" w:w="9360"/>
        <w:jc w:val="left"/>
        <w:tblLayout w:type="fixed"/>
        <w:tblLook w:firstColumn="1" w:firstRow="1" w:lastColumn="0" w:lastRow="0" w:noHBand="0" w:noVBand="1" w:val="04A0"/>
        <w:tblInd w:w="120" w:type="dxa"/>
      </w:tblPr>
      <w:tblGrid>
        <w:gridCol w:w="700"/>
        <w:gridCol w:w="3040"/>
        <w:gridCol w:w="5620"/>
      </w:tblGrid>
      <w:tr>
        <w:trPr>
          <w:tblHeader w:val="true"/>
        </w:trPr>
        <w:tc>
          <w:tcPr>
            <w:tcW w:type="dxa" w:w="70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w:t>
            </w:r>
          </w:p>
        </w:tc>
        <w:tc>
          <w:tcPr>
            <w:tcW w:type="dxa" w:w="304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المادة المتاحة</w:t>
            </w:r>
          </w:p>
        </w:tc>
        <w:tc>
          <w:tcPr>
            <w:tcW w:type="dxa" w:w="562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ملاحظة جودة البيانات</w:t>
            </w:r>
          </w:p>
        </w:tc>
      </w:tr>
      <w:tr>
        <w:tc>
          <w:tcPr>
            <w:tcW w:type="dxa" w:w="70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01</w:t>
            </w:r>
          </w:p>
        </w:tc>
        <w:tc>
          <w:tcPr>
            <w:tcW w:type="dxa" w:w="30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مخطط موقع أولي</w:t>
            </w:r>
          </w:p>
        </w:tc>
        <w:tc>
          <w:tcPr>
            <w:tcW w:type="dxa" w:w="562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غير مساح ميدانياً ولا يثبت الملكية أو الاستعمال التخطيطي.</w:t>
            </w:r>
          </w:p>
        </w:tc>
      </w:tr>
      <w:tr>
        <w:tc>
          <w:tcPr>
            <w:tcW w:type="dxa" w:w="70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02</w:t>
            </w:r>
          </w:p>
        </w:tc>
        <w:tc>
          <w:tcPr>
            <w:tcW w:type="dxa" w:w="30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تقدير تكلفة غير تفصيلي</w:t>
            </w:r>
          </w:p>
        </w:tc>
        <w:tc>
          <w:tcPr>
            <w:tcW w:type="dxa" w:w="562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لا يستند إلى كميات أو تصميم مفاهيمي مكتمل.</w:t>
            </w:r>
          </w:p>
        </w:tc>
      </w:tr>
      <w:tr>
        <w:tc>
          <w:tcPr>
            <w:tcW w:type="dxa" w:w="70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03</w:t>
            </w:r>
          </w:p>
        </w:tc>
        <w:tc>
          <w:tcPr>
            <w:tcW w:type="dxa" w:w="30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تصور أولي للخدمات</w:t>
            </w:r>
          </w:p>
        </w:tc>
        <w:tc>
          <w:tcPr>
            <w:tcW w:type="dxa" w:w="562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يحتاج إلى تعريف الطلب المستهدف وترتيب أولويات الخدمات.</w:t>
            </w:r>
          </w:p>
        </w:tc>
      </w:tr>
      <w:tr>
        <w:tc>
          <w:tcPr>
            <w:tcW w:type="dxa" w:w="70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04</w:t>
            </w:r>
          </w:p>
        </w:tc>
        <w:tc>
          <w:tcPr>
            <w:tcW w:type="dxa" w:w="30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مقابلات سوقية محدودة</w:t>
            </w:r>
          </w:p>
        </w:tc>
        <w:tc>
          <w:tcPr>
            <w:tcW w:type="dxa" w:w="562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غير مدققة ولا تكفي لتقدير الطلب أو الإيراد.</w:t>
            </w:r>
          </w:p>
        </w:tc>
      </w:tr>
    </w:tbl>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30" w:type="dxa"/>
              <w:start w:w="180" w:type="dxa"/>
              <w:bottom w:w="130" w:type="dxa"/>
              <w:end w:w="180" w:type="dxa"/>
            </w:tcMar>
            <w:shd w:fill="F6F1E7"/>
            <w:tcBorders>
              <w:right w:val="single" w:sz="8" w:color="C9A85F"/>
            </w:tcBorders>
          </w:tcPr>
          <w:p>
            <w:pPr>
              <w:keepNext w:val="0"/>
              <w:spacing w:before="0" w:after="40" w:line="276" w:lineRule="auto"/>
              <w:jc w:val="right"/>
              <w:bidi/>
            </w:pPr>
            <w:r>
              <w:rPr>
                <w:rFonts w:ascii="DejaVu Sans" w:hAnsi="DejaVu Sans" w:cs="DejaVu Sans"/>
                <w:b/>
                <w:i w:val="0"/>
                <w:color w:val="07172B"/>
                <w:sz w:val="19"/>
                <w:rtl/>
              </w:rPr>
              <w:t>حدود نطاق هذا المثال</w:t>
            </w:r>
          </w:p>
          <w:p>
            <w:pPr>
              <w:keepNext w:val="0"/>
              <w:spacing w:before="0" w:after="0" w:line="300" w:lineRule="auto"/>
              <w:jc w:val="right"/>
              <w:bidi/>
            </w:pPr>
            <w:r>
              <w:rPr>
                <w:rFonts w:ascii="DejaVu Sans" w:hAnsi="DejaVu Sans" w:cs="DejaVu Sans"/>
                <w:b w:val="0"/>
                <w:i w:val="0"/>
                <w:color w:val="152735"/>
                <w:sz w:val="17"/>
                <w:rtl/>
              </w:rPr>
              <w:t>المراجعة مكتبية وافتراضية: لا زيارة موقع، ولا تدقيق قانوني للملكية، ولا اختبار سوق مستقل، ولا تصميم هندسي، ولا تدقيق CAPEX/OPEX تفصيلي.</w:t>
            </w:r>
          </w:p>
        </w:tc>
      </w:tr>
    </w:tbl>
    <w:p>
      <w:pPr>
        <w:keepNext w:val="0"/>
        <w:spacing w:before="0" w:after="40" w:line="240" w:lineRule="auto"/>
        <w:jc w:val="right"/>
        <w:bidi/>
      </w:pPr>
    </w:p>
    <w:p>
      <w:pPr>
        <w:pStyle w:val="Heading1"/>
        <w:keepNext/>
        <w:spacing w:before="360" w:after="80" w:line="264" w:lineRule="auto"/>
        <w:jc w:val="right"/>
        <w:bidi/>
      </w:pPr>
      <w:r>
        <w:rPr>
          <w:rFonts w:ascii="DejaVu Sans" w:hAnsi="DejaVu Sans" w:cs="DejaVu Sans"/>
          <w:b/>
          <w:i w:val="0"/>
          <w:color w:val="07172B"/>
          <w:sz w:val="32"/>
          <w:rtl/>
        </w:rPr>
        <w:t>03  معايير القرار المقترحة</w:t>
      </w:r>
    </w:p>
    <w:p>
      <w:pPr>
        <w:keepNext/>
        <w:spacing w:before="0" w:after="160" w:line="240" w:lineRule="auto"/>
        <w:jc w:val="right"/>
        <w:bidi/>
      </w:pPr>
      <w:r>
        <w:rPr>
          <w:rFonts w:ascii="DejaVu Sans" w:hAnsi="DejaVu Sans" w:cs="DejaVu Sans"/>
          <w:b/>
          <w:i w:val="0"/>
          <w:color w:val="C9A85F"/>
          <w:sz w:val="15"/>
          <w:rtl/>
        </w:rPr>
        <w:t>PROPOSED DECISION CRITERIA</w:t>
      </w:r>
    </w:p>
    <w:tbl>
      <w:tblPr>
        <w:tblW w:type="dxa" w:w="9360"/>
        <w:jc w:val="left"/>
        <w:tblLayout w:type="fixed"/>
        <w:tblLook w:firstColumn="1" w:firstRow="1" w:lastColumn="0" w:lastRow="0" w:noHBand="0" w:noVBand="1" w:val="04A0"/>
        <w:tblInd w:w="120" w:type="dxa"/>
      </w:tblPr>
      <w:tblGrid>
        <w:gridCol w:w="2450"/>
        <w:gridCol w:w="2250"/>
        <w:gridCol w:w="4660"/>
      </w:tblGrid>
      <w:tr>
        <w:trPr>
          <w:tblHeader w:val="true"/>
        </w:trPr>
        <w:tc>
          <w:tcPr>
            <w:tcW w:type="dxa" w:w="245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المعيار</w:t>
            </w:r>
          </w:p>
        </w:tc>
        <w:tc>
          <w:tcPr>
            <w:tcW w:type="dxa" w:w="225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حالة البيانات</w:t>
            </w:r>
          </w:p>
        </w:tc>
        <w:tc>
          <w:tcPr>
            <w:tcW w:type="dxa" w:w="466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ما يلزم قبل القرار</w:t>
            </w:r>
          </w:p>
        </w:tc>
      </w:tr>
      <w:tr>
        <w:tc>
          <w:tcPr>
            <w:tcW w:type="dxa" w:w="24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الطلب السوقي</w:t>
            </w:r>
          </w:p>
        </w:tc>
        <w:tc>
          <w:tcPr>
            <w:tcW w:type="dxa" w:w="22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غير كافٍ</w:t>
            </w:r>
          </w:p>
        </w:tc>
        <w:tc>
          <w:tcPr>
            <w:tcW w:type="dxa" w:w="466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دراسة مستقلة وحجم طلب واقعي وسيناريوهات.</w:t>
            </w:r>
          </w:p>
        </w:tc>
      </w:tr>
      <w:tr>
        <w:tc>
          <w:tcPr>
            <w:tcW w:type="dxa" w:w="24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الأرض والتنظيم</w:t>
            </w:r>
          </w:p>
        </w:tc>
        <w:tc>
          <w:tcPr>
            <w:tcW w:type="dxa" w:w="22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غير متحقق</w:t>
            </w:r>
          </w:p>
        </w:tc>
        <w:tc>
          <w:tcPr>
            <w:tcW w:type="dxa" w:w="466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إثبات الملكية والاستعمال والموافقات.</w:t>
            </w:r>
          </w:p>
        </w:tc>
      </w:tr>
      <w:tr>
        <w:tc>
          <w:tcPr>
            <w:tcW w:type="dxa" w:w="24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البنية التحتية</w:t>
            </w:r>
          </w:p>
        </w:tc>
        <w:tc>
          <w:tcPr>
            <w:tcW w:type="dxa" w:w="22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غير مؤكد</w:t>
            </w:r>
          </w:p>
        </w:tc>
        <w:tc>
          <w:tcPr>
            <w:tcW w:type="dxa" w:w="466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فحص الطرق والكهرباء والمياه والاتصالات.</w:t>
            </w:r>
          </w:p>
        </w:tc>
      </w:tr>
      <w:tr>
        <w:tc>
          <w:tcPr>
            <w:tcW w:type="dxa" w:w="24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الكلفة</w:t>
            </w:r>
          </w:p>
        </w:tc>
        <w:tc>
          <w:tcPr>
            <w:tcW w:type="dxa" w:w="22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أولية</w:t>
            </w:r>
          </w:p>
        </w:tc>
        <w:tc>
          <w:tcPr>
            <w:tcW w:type="dxa" w:w="466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مخطط مفاهيمي وكميات وتقدير مصنف.</w:t>
            </w:r>
          </w:p>
        </w:tc>
      </w:tr>
      <w:tr>
        <w:tc>
          <w:tcPr>
            <w:tcW w:type="dxa" w:w="24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الحوكمة</w:t>
            </w:r>
          </w:p>
        </w:tc>
        <w:tc>
          <w:tcPr>
            <w:tcW w:type="dxa" w:w="22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غير محددة</w:t>
            </w:r>
          </w:p>
        </w:tc>
        <w:tc>
          <w:tcPr>
            <w:tcW w:type="dxa" w:w="466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ميثاق مشروع وصلاحيات وبوابات قرار.</w:t>
            </w:r>
          </w:p>
        </w:tc>
      </w:tr>
    </w:tbl>
    <w:p>
      <w:r>
        <w:br w:type="page"/>
      </w:r>
    </w:p>
    <w:p>
      <w:pPr>
        <w:pStyle w:val="Heading1"/>
        <w:keepNext/>
        <w:spacing w:before="360" w:after="80" w:line="264" w:lineRule="auto"/>
        <w:jc w:val="right"/>
        <w:bidi/>
      </w:pPr>
      <w:r>
        <w:rPr>
          <w:rFonts w:ascii="DejaVu Sans" w:hAnsi="DejaVu Sans" w:cs="DejaVu Sans"/>
          <w:b/>
          <w:i w:val="0"/>
          <w:color w:val="07172B"/>
          <w:sz w:val="32"/>
          <w:rtl/>
        </w:rPr>
        <w:t>04  الملاحظات الرئيسية وسجل المخاطر</w:t>
      </w:r>
    </w:p>
    <w:p>
      <w:pPr>
        <w:keepNext/>
        <w:spacing w:before="0" w:after="160" w:line="240" w:lineRule="auto"/>
        <w:jc w:val="right"/>
        <w:bidi/>
      </w:pPr>
      <w:r>
        <w:rPr>
          <w:rFonts w:ascii="DejaVu Sans" w:hAnsi="DejaVu Sans" w:cs="DejaVu Sans"/>
          <w:b/>
          <w:i w:val="0"/>
          <w:color w:val="C9A85F"/>
          <w:sz w:val="15"/>
          <w:rtl/>
        </w:rPr>
        <w:t>KEY FINDINGS &amp; RISK REGISTER</w:t>
      </w:r>
    </w:p>
    <w:tbl>
      <w:tblPr>
        <w:tblW w:type="dxa" w:w="9360"/>
        <w:jc w:val="left"/>
        <w:tblLayout w:type="fixed"/>
        <w:tblLook w:firstColumn="1" w:firstRow="1" w:lastColumn="0" w:lastRow="0" w:noHBand="0" w:noVBand="1" w:val="04A0"/>
        <w:tblInd w:w="120" w:type="dxa"/>
      </w:tblPr>
      <w:tblGrid>
        <w:gridCol w:w="2450"/>
        <w:gridCol w:w="1350"/>
        <w:gridCol w:w="3060"/>
        <w:gridCol w:w="2500"/>
      </w:tblGrid>
      <w:tr>
        <w:trPr>
          <w:tblHeader w:val="true"/>
        </w:trPr>
        <w:tc>
          <w:tcPr>
            <w:tcW w:type="dxa" w:w="245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الملاحظة</w:t>
            </w:r>
          </w:p>
        </w:tc>
        <w:tc>
          <w:tcPr>
            <w:tcW w:type="dxa" w:w="135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المستوى</w:t>
            </w:r>
          </w:p>
        </w:tc>
        <w:tc>
          <w:tcPr>
            <w:tcW w:type="dxa" w:w="306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الأثر المحتمل</w:t>
            </w:r>
          </w:p>
        </w:tc>
        <w:tc>
          <w:tcPr>
            <w:tcW w:type="dxa" w:w="250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المعالجة المقترحة</w:t>
            </w:r>
          </w:p>
        </w:tc>
      </w:tr>
      <w:tr>
        <w:tc>
          <w:tcPr>
            <w:tcW w:type="dxa" w:w="24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بيانات الطلب غير كافية</w:t>
            </w:r>
          </w:p>
        </w:tc>
        <w:tc>
          <w:tcPr>
            <w:tcW w:type="dxa" w:w="1350"/>
            <w:vAlign w:val="center"/>
            <w:tcMar>
              <w:top w:w="110" w:type="dxa"/>
              <w:start w:w="150" w:type="dxa"/>
              <w:bottom w:w="110" w:type="dxa"/>
              <w:end w:w="150" w:type="dxa"/>
            </w:tcMar>
            <w:shd w:fill="FFF0EC"/>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8F2F2F"/>
                <w:sz w:val="16"/>
                <w:rtl/>
              </w:rPr>
              <w:t>مرتفع</w:t>
            </w:r>
          </w:p>
        </w:tc>
        <w:tc>
          <w:tcPr>
            <w:tcW w:type="dxa" w:w="306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مبالغة في السعة والإيراد</w:t>
            </w:r>
          </w:p>
        </w:tc>
        <w:tc>
          <w:tcPr>
            <w:tcW w:type="dxa" w:w="250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بحث سوق واختبار الطلب</w:t>
            </w:r>
          </w:p>
        </w:tc>
      </w:tr>
      <w:tr>
        <w:tc>
          <w:tcPr>
            <w:tcW w:type="dxa" w:w="24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الوضع التخطيطي غير متحقق</w:t>
            </w:r>
          </w:p>
        </w:tc>
        <w:tc>
          <w:tcPr>
            <w:tcW w:type="dxa" w:w="1350"/>
            <w:vAlign w:val="center"/>
            <w:tcMar>
              <w:top w:w="110" w:type="dxa"/>
              <w:start w:w="150" w:type="dxa"/>
              <w:bottom w:w="110" w:type="dxa"/>
              <w:end w:w="150" w:type="dxa"/>
            </w:tcMar>
            <w:shd w:fill="FFF0EC"/>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8F2F2F"/>
                <w:sz w:val="16"/>
                <w:rtl/>
              </w:rPr>
              <w:t>مرتفع</w:t>
            </w:r>
          </w:p>
        </w:tc>
        <w:tc>
          <w:tcPr>
            <w:tcW w:type="dxa" w:w="306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تأخير أو رفض الموافقات</w:t>
            </w:r>
          </w:p>
        </w:tc>
        <w:tc>
          <w:tcPr>
            <w:tcW w:type="dxa" w:w="250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تدقيق قانوني وتنظيمي</w:t>
            </w:r>
          </w:p>
        </w:tc>
      </w:tr>
      <w:tr>
        <w:tc>
          <w:tcPr>
            <w:tcW w:type="dxa" w:w="24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البنية التحتية غير مؤكدة</w:t>
            </w:r>
          </w:p>
        </w:tc>
        <w:tc>
          <w:tcPr>
            <w:tcW w:type="dxa" w:w="1350"/>
            <w:vAlign w:val="center"/>
            <w:tcMar>
              <w:top w:w="110" w:type="dxa"/>
              <w:start w:w="150" w:type="dxa"/>
              <w:bottom w:w="110" w:type="dxa"/>
              <w:end w:w="150" w:type="dxa"/>
            </w:tcMar>
            <w:shd w:fill="FFF0EC"/>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8F2F2F"/>
                <w:sz w:val="16"/>
                <w:rtl/>
              </w:rPr>
              <w:t>متوسط-مرتفع</w:t>
            </w:r>
          </w:p>
        </w:tc>
        <w:tc>
          <w:tcPr>
            <w:tcW w:type="dxa" w:w="306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زيادة الكلفة والمدة</w:t>
            </w:r>
          </w:p>
        </w:tc>
        <w:tc>
          <w:tcPr>
            <w:tcW w:type="dxa" w:w="250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مذكرات تأكيد من المزودين</w:t>
            </w:r>
          </w:p>
        </w:tc>
      </w:tr>
      <w:tr>
        <w:tc>
          <w:tcPr>
            <w:tcW w:type="dxa" w:w="24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تقدير الكلفة غير مصنف</w:t>
            </w:r>
          </w:p>
        </w:tc>
        <w:tc>
          <w:tcPr>
            <w:tcW w:type="dxa" w:w="1350"/>
            <w:vAlign w:val="center"/>
            <w:tcMar>
              <w:top w:w="110" w:type="dxa"/>
              <w:start w:w="150" w:type="dxa"/>
              <w:bottom w:w="110" w:type="dxa"/>
              <w:end w:w="150" w:type="dxa"/>
            </w:tcMar>
            <w:shd w:fill="FFF0EC"/>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8F2F2F"/>
                <w:sz w:val="16"/>
                <w:rtl/>
              </w:rPr>
              <w:t>مرتفع</w:t>
            </w:r>
          </w:p>
        </w:tc>
        <w:tc>
          <w:tcPr>
            <w:tcW w:type="dxa" w:w="306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انحراف الميزانية</w:t>
            </w:r>
          </w:p>
        </w:tc>
        <w:tc>
          <w:tcPr>
            <w:tcW w:type="dxa" w:w="250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مخطط مفاهيمي وكميات</w:t>
            </w:r>
          </w:p>
        </w:tc>
      </w:tr>
      <w:tr>
        <w:tc>
          <w:tcPr>
            <w:tcW w:type="dxa" w:w="24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غياب بوابات القرار</w:t>
            </w:r>
          </w:p>
        </w:tc>
        <w:tc>
          <w:tcPr>
            <w:tcW w:type="dxa" w:w="135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متوسط</w:t>
            </w:r>
          </w:p>
        </w:tc>
        <w:tc>
          <w:tcPr>
            <w:tcW w:type="dxa" w:w="306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التزام مبكر غير منضبط</w:t>
            </w:r>
          </w:p>
        </w:tc>
        <w:tc>
          <w:tcPr>
            <w:tcW w:type="dxa" w:w="250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ميثاق وحوكمة ومصفوفة صلاحيات</w:t>
            </w:r>
          </w:p>
        </w:tc>
      </w:tr>
    </w:tbl>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30" w:type="dxa"/>
              <w:start w:w="180" w:type="dxa"/>
              <w:bottom w:w="130" w:type="dxa"/>
              <w:end w:w="180" w:type="dxa"/>
            </w:tcMar>
            <w:shd w:fill="EEF6F2"/>
            <w:tcBorders>
              <w:right w:val="single" w:sz="8" w:color="245A51"/>
            </w:tcBorders>
          </w:tcPr>
          <w:p>
            <w:pPr>
              <w:keepNext w:val="0"/>
              <w:spacing w:before="0" w:after="40" w:line="276" w:lineRule="auto"/>
              <w:jc w:val="right"/>
              <w:bidi/>
            </w:pPr>
            <w:r>
              <w:rPr>
                <w:rFonts w:ascii="DejaVu Sans" w:hAnsi="DejaVu Sans" w:cs="DejaVu Sans"/>
                <w:b/>
                <w:i w:val="0"/>
                <w:color w:val="07172B"/>
                <w:sz w:val="19"/>
                <w:rtl/>
              </w:rPr>
              <w:t>استنتاج هذه المرحلة</w:t>
            </w:r>
          </w:p>
          <w:p>
            <w:pPr>
              <w:keepNext w:val="0"/>
              <w:spacing w:before="0" w:after="0" w:line="300" w:lineRule="auto"/>
              <w:jc w:val="right"/>
              <w:bidi/>
            </w:pPr>
            <w:r>
              <w:rPr>
                <w:rFonts w:ascii="DejaVu Sans" w:hAnsi="DejaVu Sans" w:cs="DejaVu Sans"/>
                <w:b w:val="0"/>
                <w:i w:val="0"/>
                <w:color w:val="152735"/>
                <w:sz w:val="17"/>
                <w:rtl/>
              </w:rPr>
              <w:t>الخطر الأكبر ليس اختيار حجم المبنى فقط، بل اتخاذ قرار مشروع قبل اكتمال أدلة السوق والتنظيم والكلفة والحوكمة.</w:t>
            </w:r>
          </w:p>
        </w:tc>
      </w:tr>
    </w:tbl>
    <w:p>
      <w:pPr>
        <w:keepNext w:val="0"/>
        <w:spacing w:before="0" w:after="40" w:line="240" w:lineRule="auto"/>
        <w:jc w:val="right"/>
        <w:bidi/>
      </w:pPr>
    </w:p>
    <w:p>
      <w:r>
        <w:br w:type="page"/>
      </w:r>
    </w:p>
    <w:p>
      <w:pPr>
        <w:pStyle w:val="Heading1"/>
        <w:keepNext/>
        <w:spacing w:before="360" w:after="80" w:line="264" w:lineRule="auto"/>
        <w:jc w:val="right"/>
        <w:bidi/>
      </w:pPr>
      <w:r>
        <w:rPr>
          <w:rFonts w:ascii="DejaVu Sans" w:hAnsi="DejaVu Sans" w:cs="DejaVu Sans"/>
          <w:b/>
          <w:i w:val="0"/>
          <w:color w:val="07172B"/>
          <w:sz w:val="32"/>
          <w:rtl/>
        </w:rPr>
        <w:t>05  مقارنة البدائل والتوصية</w:t>
      </w:r>
    </w:p>
    <w:p>
      <w:pPr>
        <w:keepNext/>
        <w:spacing w:before="0" w:after="160" w:line="240" w:lineRule="auto"/>
        <w:jc w:val="right"/>
        <w:bidi/>
      </w:pPr>
      <w:r>
        <w:rPr>
          <w:rFonts w:ascii="DejaVu Sans" w:hAnsi="DejaVu Sans" w:cs="DejaVu Sans"/>
          <w:b/>
          <w:i w:val="0"/>
          <w:color w:val="C9A85F"/>
          <w:sz w:val="15"/>
          <w:rtl/>
        </w:rPr>
        <w:t>OPTIONS &amp; RECOMMENDATION</w:t>
      </w:r>
    </w:p>
    <w:tbl>
      <w:tblPr>
        <w:tblW w:type="dxa" w:w="9360"/>
        <w:jc w:val="left"/>
        <w:tblLayout w:type="fixed"/>
        <w:tblLook w:firstColumn="1" w:firstRow="1" w:lastColumn="0" w:lastRow="0" w:noHBand="0" w:noVBand="1" w:val="04A0"/>
        <w:tblInd w:w="120" w:type="dxa"/>
      </w:tblPr>
      <w:tblGrid>
        <w:gridCol w:w="1700"/>
        <w:gridCol w:w="2670"/>
        <w:gridCol w:w="2670"/>
        <w:gridCol w:w="2320"/>
      </w:tblGrid>
      <w:tr>
        <w:trPr>
          <w:tblHeader w:val="true"/>
        </w:trPr>
        <w:tc>
          <w:tcPr>
            <w:tcW w:type="dxa" w:w="170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البديل</w:t>
            </w:r>
          </w:p>
        </w:tc>
        <w:tc>
          <w:tcPr>
            <w:tcW w:type="dxa" w:w="267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المزايا</w:t>
            </w:r>
          </w:p>
        </w:tc>
        <w:tc>
          <w:tcPr>
            <w:tcW w:type="dxa" w:w="267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المخاطر</w:t>
            </w:r>
          </w:p>
        </w:tc>
        <w:tc>
          <w:tcPr>
            <w:tcW w:type="dxa" w:w="232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التقييم الأولي</w:t>
            </w:r>
          </w:p>
        </w:tc>
      </w:tr>
      <w:tr>
        <w:tc>
          <w:tcPr>
            <w:tcW w:type="dxa" w:w="170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التنفيذ الكامل</w:t>
            </w:r>
          </w:p>
        </w:tc>
        <w:tc>
          <w:tcPr>
            <w:tcW w:type="dxa" w:w="267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سرعة دخول أعلى عند تحقق الطلب</w:t>
            </w:r>
          </w:p>
        </w:tc>
        <w:tc>
          <w:tcPr>
            <w:tcW w:type="dxa" w:w="267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تعرض مالي وتنظيمي مرتفع</w:t>
            </w:r>
          </w:p>
        </w:tc>
        <w:tc>
          <w:tcPr>
            <w:tcW w:type="dxa" w:w="232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غير مفضل حالياً</w:t>
            </w:r>
          </w:p>
        </w:tc>
      </w:tr>
      <w:tr>
        <w:tc>
          <w:tcPr>
            <w:tcW w:type="dxa" w:w="1700"/>
            <w:vAlign w:val="center"/>
            <w:tcMar>
              <w:top w:w="110" w:type="dxa"/>
              <w:start w:w="150" w:type="dxa"/>
              <w:bottom w:w="110" w:type="dxa"/>
              <w:end w:w="150" w:type="dxa"/>
            </w:tcMar>
            <w:shd w:fill="EEF6F2"/>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التنفيذ المرحلي</w:t>
            </w:r>
          </w:p>
        </w:tc>
        <w:tc>
          <w:tcPr>
            <w:tcW w:type="dxa" w:w="2670"/>
            <w:vAlign w:val="center"/>
            <w:tcMar>
              <w:top w:w="110" w:type="dxa"/>
              <w:start w:w="150" w:type="dxa"/>
              <w:bottom w:w="110" w:type="dxa"/>
              <w:end w:w="150" w:type="dxa"/>
            </w:tcMar>
            <w:shd w:fill="EEF6F2"/>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اختبار الطلب وتقليل الالتزام المبكر</w:t>
            </w:r>
          </w:p>
        </w:tc>
        <w:tc>
          <w:tcPr>
            <w:tcW w:type="dxa" w:w="2670"/>
            <w:vAlign w:val="center"/>
            <w:tcMar>
              <w:top w:w="110" w:type="dxa"/>
              <w:start w:w="150" w:type="dxa"/>
              <w:bottom w:w="110" w:type="dxa"/>
              <w:end w:w="150" w:type="dxa"/>
            </w:tcMar>
            <w:shd w:fill="EEF6F2"/>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يتطلب تصميم مراحل واضحاً</w:t>
            </w:r>
          </w:p>
        </w:tc>
        <w:tc>
          <w:tcPr>
            <w:tcW w:type="dxa" w:w="2320"/>
            <w:vAlign w:val="center"/>
            <w:tcMar>
              <w:top w:w="110" w:type="dxa"/>
              <w:start w:w="150" w:type="dxa"/>
              <w:bottom w:w="110" w:type="dxa"/>
              <w:end w:w="150" w:type="dxa"/>
            </w:tcMar>
            <w:shd w:fill="EEF6F2"/>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245A51"/>
                <w:sz w:val="16"/>
                <w:rtl/>
              </w:rPr>
              <w:t>الموصى بدراسته</w:t>
            </w:r>
          </w:p>
        </w:tc>
      </w:tr>
      <w:tr>
        <w:tc>
          <w:tcPr>
            <w:tcW w:type="dxa" w:w="170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تأجيل القرار</w:t>
            </w:r>
          </w:p>
        </w:tc>
        <w:tc>
          <w:tcPr>
            <w:tcW w:type="dxa" w:w="267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يخفض الإنفاق الحالي</w:t>
            </w:r>
          </w:p>
        </w:tc>
        <w:tc>
          <w:tcPr>
            <w:tcW w:type="dxa" w:w="267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تأخر دخول السوق وفقد فرصة محتملة</w:t>
            </w:r>
          </w:p>
        </w:tc>
        <w:tc>
          <w:tcPr>
            <w:tcW w:type="dxa" w:w="232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بديل احترازي</w:t>
            </w:r>
          </w:p>
        </w:tc>
      </w:tr>
    </w:tbl>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30" w:type="dxa"/>
              <w:start w:w="180" w:type="dxa"/>
              <w:bottom w:w="130" w:type="dxa"/>
              <w:end w:w="180" w:type="dxa"/>
            </w:tcMar>
            <w:shd w:fill="EEF6F2"/>
            <w:tcBorders>
              <w:right w:val="single" w:sz="8" w:color="245A51"/>
            </w:tcBorders>
          </w:tcPr>
          <w:p>
            <w:pPr>
              <w:keepNext w:val="0"/>
              <w:spacing w:before="0" w:after="40" w:line="276" w:lineRule="auto"/>
              <w:jc w:val="right"/>
              <w:bidi/>
            </w:pPr>
            <w:r>
              <w:rPr>
                <w:rFonts w:ascii="DejaVu Sans" w:hAnsi="DejaVu Sans" w:cs="DejaVu Sans"/>
                <w:b/>
                <w:i w:val="0"/>
                <w:color w:val="07172B"/>
                <w:sz w:val="19"/>
                <w:rtl/>
              </w:rPr>
              <w:t>التوصية الأولية</w:t>
            </w:r>
          </w:p>
          <w:p>
            <w:pPr>
              <w:keepNext w:val="0"/>
              <w:spacing w:before="0" w:after="0" w:line="300" w:lineRule="auto"/>
              <w:jc w:val="right"/>
              <w:bidi/>
            </w:pPr>
            <w:r>
              <w:rPr>
                <w:rFonts w:ascii="DejaVu Sans" w:hAnsi="DejaVu Sans" w:cs="DejaVu Sans"/>
                <w:b w:val="0"/>
                <w:i w:val="0"/>
                <w:color w:val="152735"/>
                <w:sz w:val="17"/>
                <w:rtl/>
              </w:rPr>
              <w:t>إطلاق مرحلة تحقق ما قبل التنفيذ، ثم عقد بوابة قرار رسمية. إذا أثبتت البيانات سلامة الطلب والتنظيم والكلفة، يُطوّر بديل تنفيذ مرحلي يبدأ بالخدمات الأعلى طلباً والأقل اعتماداً على بنية تحتية غير مؤكدة.</w:t>
            </w:r>
          </w:p>
        </w:tc>
      </w:tr>
    </w:tbl>
    <w:p>
      <w:pPr>
        <w:keepNext w:val="0"/>
        <w:spacing w:before="0" w:after="40" w:line="240" w:lineRule="auto"/>
        <w:jc w:val="right"/>
        <w:bidi/>
      </w:pPr>
    </w:p>
    <w:p>
      <w:pPr>
        <w:pStyle w:val="Heading1"/>
        <w:keepNext/>
        <w:spacing w:before="360" w:after="80" w:line="264" w:lineRule="auto"/>
        <w:jc w:val="right"/>
        <w:bidi/>
      </w:pPr>
      <w:r>
        <w:rPr>
          <w:rFonts w:ascii="DejaVu Sans" w:hAnsi="DejaVu Sans" w:cs="DejaVu Sans"/>
          <w:b/>
          <w:i w:val="0"/>
          <w:color w:val="07172B"/>
          <w:sz w:val="32"/>
          <w:rtl/>
        </w:rPr>
        <w:t>06  خطة عمل 30-60-90 يوماً</w:t>
      </w:r>
    </w:p>
    <w:p>
      <w:pPr>
        <w:keepNext/>
        <w:spacing w:before="0" w:after="160" w:line="240" w:lineRule="auto"/>
        <w:jc w:val="right"/>
        <w:bidi/>
      </w:pPr>
      <w:r>
        <w:rPr>
          <w:rFonts w:ascii="DejaVu Sans" w:hAnsi="DejaVu Sans" w:cs="DejaVu Sans"/>
          <w:b/>
          <w:i w:val="0"/>
          <w:color w:val="C9A85F"/>
          <w:sz w:val="15"/>
          <w:rtl/>
        </w:rPr>
        <w:t>30-60-90 DAY ACTION PLAN</w:t>
      </w:r>
    </w:p>
    <w:tbl>
      <w:tblPr>
        <w:tblW w:type="dxa" w:w="9360"/>
        <w:jc w:val="left"/>
        <w:tblLayout w:type="fixed"/>
        <w:tblLook w:firstColumn="1" w:firstRow="1" w:lastColumn="0" w:lastRow="0" w:noHBand="0" w:noVBand="1" w:val="04A0"/>
        <w:tblInd w:w="120" w:type="dxa"/>
      </w:tblPr>
      <w:tblGrid>
        <w:gridCol w:w="1500"/>
        <w:gridCol w:w="5120"/>
        <w:gridCol w:w="2740"/>
      </w:tblGrid>
      <w:tr>
        <w:trPr>
          <w:tblHeader w:val="true"/>
        </w:trPr>
        <w:tc>
          <w:tcPr>
            <w:tcW w:type="dxa" w:w="150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الفترة</w:t>
            </w:r>
          </w:p>
        </w:tc>
        <w:tc>
          <w:tcPr>
            <w:tcW w:type="dxa" w:w="512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الإجراءات الرئيسية</w:t>
            </w:r>
          </w:p>
        </w:tc>
        <w:tc>
          <w:tcPr>
            <w:tcW w:type="dxa" w:w="2740"/>
            <w:vAlign w:val="center"/>
            <w:tcMar>
              <w:top w:w="110" w:type="dxa"/>
              <w:start w:w="150" w:type="dxa"/>
              <w:bottom w:w="110" w:type="dxa"/>
              <w:end w:w="150" w:type="dxa"/>
            </w:tcMar>
            <w:shd w:fill="07172B"/>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i w:val="0"/>
                <w:color w:val="FFFFFF"/>
                <w:sz w:val="16"/>
                <w:rtl/>
              </w:rPr>
              <w:t>قرار البوابة</w:t>
            </w:r>
          </w:p>
        </w:tc>
      </w:tr>
      <w:tr>
        <w:tc>
          <w:tcPr>
            <w:tcW w:type="dxa" w:w="150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0-30 يوم</w:t>
            </w:r>
          </w:p>
        </w:tc>
        <w:tc>
          <w:tcPr>
            <w:tcW w:type="dxa" w:w="512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التحقق من الأرض والتنظيم، رفع الموقع، دراسة الطلب، واعتماد ميثاق المشروع.</w:t>
            </w:r>
          </w:p>
        </w:tc>
        <w:tc>
          <w:tcPr>
            <w:tcW w:type="dxa" w:w="2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الاستمرار أو التوقف</w:t>
            </w:r>
          </w:p>
        </w:tc>
      </w:tr>
      <w:tr>
        <w:tc>
          <w:tcPr>
            <w:tcW w:type="dxa" w:w="150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31-60 يوم</w:t>
            </w:r>
          </w:p>
        </w:tc>
        <w:tc>
          <w:tcPr>
            <w:tcW w:type="dxa" w:w="512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مخطط مفاهيمي، تقدير كلفة، فحص السلامة والبيئة، وبناء السيناريوهات المالية.</w:t>
            </w:r>
          </w:p>
        </w:tc>
        <w:tc>
          <w:tcPr>
            <w:tcW w:type="dxa" w:w="2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اختيار بديل التنفيذ</w:t>
            </w:r>
          </w:p>
        </w:tc>
      </w:tr>
      <w:tr>
        <w:tc>
          <w:tcPr>
            <w:tcW w:type="dxa" w:w="150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61-90 يوم</w:t>
            </w:r>
          </w:p>
        </w:tc>
        <w:tc>
          <w:tcPr>
            <w:tcW w:type="dxa" w:w="512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6"/>
                <w:rtl/>
              </w:rPr>
              <w:t>اختبار الحساسية، مقارنة البدائل، مراجعة التمويل، وعقد بوابة القرار.</w:t>
            </w:r>
          </w:p>
        </w:tc>
        <w:tc>
          <w:tcPr>
            <w:tcW w:type="dxa" w:w="274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center"/>
              <w:bidi/>
            </w:pPr>
            <w:r>
              <w:rPr>
                <w:rFonts w:ascii="DejaVu Sans" w:hAnsi="DejaVu Sans" w:cs="DejaVu Sans"/>
                <w:b w:val="0"/>
                <w:i w:val="0"/>
                <w:color w:val="152735"/>
                <w:sz w:val="16"/>
                <w:rtl/>
              </w:rPr>
              <w:t>اعتماد مرحلي أو تأجيل</w:t>
            </w:r>
          </w:p>
        </w:tc>
      </w:tr>
    </w:tbl>
    <w:p>
      <w:r>
        <w:br w:type="page"/>
      </w:r>
    </w:p>
    <w:p>
      <w:pPr>
        <w:pStyle w:val="Heading1"/>
        <w:keepNext/>
        <w:spacing w:before="360" w:after="80" w:line="264" w:lineRule="auto"/>
        <w:jc w:val="right"/>
        <w:bidi/>
      </w:pPr>
      <w:r>
        <w:rPr>
          <w:rFonts w:ascii="DejaVu Sans" w:hAnsi="DejaVu Sans" w:cs="DejaVu Sans"/>
          <w:b/>
          <w:i w:val="0"/>
          <w:color w:val="07172B"/>
          <w:sz w:val="32"/>
          <w:rtl/>
        </w:rPr>
        <w:t>07  القيود والخطوة التالية</w:t>
      </w:r>
    </w:p>
    <w:p>
      <w:pPr>
        <w:keepNext/>
        <w:spacing w:before="0" w:after="160" w:line="240" w:lineRule="auto"/>
        <w:jc w:val="right"/>
        <w:bidi/>
      </w:pPr>
      <w:r>
        <w:rPr>
          <w:rFonts w:ascii="DejaVu Sans" w:hAnsi="DejaVu Sans" w:cs="DejaVu Sans"/>
          <w:b/>
          <w:i w:val="0"/>
          <w:color w:val="C9A85F"/>
          <w:sz w:val="15"/>
          <w:rtl/>
        </w:rPr>
        <w:t>LIMITATIONS &amp; NEXT STEP</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30" w:type="dxa"/>
              <w:start w:w="180" w:type="dxa"/>
              <w:bottom w:w="130" w:type="dxa"/>
              <w:end w:w="180" w:type="dxa"/>
            </w:tcMar>
            <w:shd w:fill="FFF3F0"/>
            <w:tcBorders>
              <w:right w:val="single" w:sz="8" w:color="8F2F2F"/>
            </w:tcBorders>
          </w:tcPr>
          <w:p>
            <w:pPr>
              <w:keepNext w:val="0"/>
              <w:spacing w:before="0" w:after="40" w:line="276" w:lineRule="auto"/>
              <w:jc w:val="right"/>
              <w:bidi/>
            </w:pPr>
            <w:r>
              <w:rPr>
                <w:rFonts w:ascii="DejaVu Sans" w:hAnsi="DejaVu Sans" w:cs="DejaVu Sans"/>
                <w:b/>
                <w:i w:val="0"/>
                <w:color w:val="07172B"/>
                <w:sz w:val="19"/>
                <w:rtl/>
              </w:rPr>
              <w:t>حدود الاعتماد</w:t>
            </w:r>
          </w:p>
          <w:p>
            <w:pPr>
              <w:keepNext w:val="0"/>
              <w:spacing w:before="0" w:after="0" w:line="300" w:lineRule="auto"/>
              <w:jc w:val="right"/>
              <w:bidi/>
            </w:pPr>
            <w:r>
              <w:rPr>
                <w:rFonts w:ascii="DejaVu Sans" w:hAnsi="DejaVu Sans" w:cs="DejaVu Sans"/>
                <w:b w:val="0"/>
                <w:i w:val="0"/>
                <w:color w:val="152735"/>
                <w:sz w:val="17"/>
                <w:rtl/>
              </w:rPr>
              <w:t>هذا المثال لا يمثل شهادة أو موافقة أو توصية مالية أو قرار تنفيذ ملزماً، ولا يقدم نصيحة بشأن الأوراق المالية أو المنتجات الاستثمارية. لا يشمل تدقيقاً قانونياً أو هندسياً أو مالياً مستقلاً، ولا يضمن الربح أو التمويل أو الموافقات الرسمية.</w:t>
            </w:r>
          </w:p>
        </w:tc>
      </w:tr>
    </w:tbl>
    <w:p>
      <w:pPr>
        <w:keepNext w:val="0"/>
        <w:spacing w:before="0" w:after="40" w:line="240" w:lineRule="auto"/>
        <w:jc w:val="right"/>
        <w:bidi/>
      </w:pPr>
    </w:p>
    <w:tbl>
      <w:tblPr>
        <w:tblW w:type="dxa" w:w="9360"/>
        <w:jc w:val="left"/>
        <w:tblLayout w:type="fixed"/>
        <w:tblLook w:firstColumn="1" w:firstRow="1" w:lastColumn="0" w:lastRow="0" w:noHBand="0" w:noVBand="1" w:val="04A0"/>
        <w:tblInd w:w="120" w:type="dxa"/>
      </w:tblPr>
      <w:tblGrid>
        <w:gridCol w:w="2650"/>
        <w:gridCol w:w="6710"/>
      </w:tblGrid>
      <w:tr>
        <w:tc>
          <w:tcPr>
            <w:tcW w:type="dxa" w:w="2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i w:val="0"/>
                <w:color w:val="07172B"/>
                <w:sz w:val="16"/>
                <w:rtl/>
              </w:rPr>
              <w:t>الخطوة التالية المقترحة</w:t>
              <w:br/>
              <w:t>Recommended next step</w:t>
            </w:r>
          </w:p>
        </w:tc>
        <w:tc>
          <w:tcPr>
            <w:tcW w:type="dxa" w:w="671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8"/>
                <w:rtl/>
              </w:rPr>
              <w:t>إعداد نطاق مرحلة تحقق مدتها 4-6 أسابيع وتحديد البيانات والمسؤوليات وبوابة القرار.</w:t>
            </w:r>
          </w:p>
        </w:tc>
      </w:tr>
    </w:tbl>
    <w:p>
      <w:pPr>
        <w:keepNext w:val="0"/>
        <w:spacing w:before="0" w:after="20" w:line="240" w:lineRule="auto"/>
        <w:jc w:val="right"/>
        <w:bidi/>
      </w:pPr>
    </w:p>
    <w:tbl>
      <w:tblPr>
        <w:tblW w:type="dxa" w:w="9360"/>
        <w:jc w:val="left"/>
        <w:tblLayout w:type="fixed"/>
        <w:tblLook w:firstColumn="1" w:firstRow="1" w:lastColumn="0" w:lastRow="0" w:noHBand="0" w:noVBand="1" w:val="04A0"/>
        <w:tblInd w:w="120" w:type="dxa"/>
      </w:tblPr>
      <w:tblGrid>
        <w:gridCol w:w="2650"/>
        <w:gridCol w:w="6710"/>
      </w:tblGrid>
      <w:tr>
        <w:tc>
          <w:tcPr>
            <w:tcW w:type="dxa" w:w="2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i w:val="0"/>
                <w:color w:val="07172B"/>
                <w:sz w:val="16"/>
                <w:rtl/>
              </w:rPr>
              <w:t>المخرجات المقترحة</w:t>
              <w:br/>
              <w:t>Proposed deliverables</w:t>
            </w:r>
          </w:p>
        </w:tc>
        <w:tc>
          <w:tcPr>
            <w:tcW w:type="dxa" w:w="671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8"/>
                <w:rtl/>
              </w:rPr>
              <w:t>مذكرة تنظيمية، دراسة طلب، مخطط مفاهيمي، تقدير كلفة، نموذج مالي أولي، سجل مخاطر، ومصفوفة قرار.</w:t>
            </w:r>
          </w:p>
        </w:tc>
      </w:tr>
    </w:tbl>
    <w:p>
      <w:pPr>
        <w:keepNext w:val="0"/>
        <w:spacing w:before="0" w:after="20" w:line="240" w:lineRule="auto"/>
        <w:jc w:val="right"/>
        <w:bidi/>
      </w:pPr>
    </w:p>
    <w:tbl>
      <w:tblPr>
        <w:tblW w:type="dxa" w:w="9360"/>
        <w:jc w:val="left"/>
        <w:tblLayout w:type="fixed"/>
        <w:tblLook w:firstColumn="1" w:firstRow="1" w:lastColumn="0" w:lastRow="0" w:noHBand="0" w:noVBand="1" w:val="04A0"/>
        <w:tblInd w:w="120" w:type="dxa"/>
      </w:tblPr>
      <w:tblGrid>
        <w:gridCol w:w="2650"/>
        <w:gridCol w:w="6710"/>
      </w:tblGrid>
      <w:tr>
        <w:tc>
          <w:tcPr>
            <w:tcW w:type="dxa" w:w="265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i w:val="0"/>
                <w:color w:val="07172B"/>
                <w:sz w:val="16"/>
                <w:rtl/>
              </w:rPr>
              <w:t>حالة المثال</w:t>
              <w:br/>
              <w:t>Example status</w:t>
            </w:r>
          </w:p>
        </w:tc>
        <w:tc>
          <w:tcPr>
            <w:tcW w:type="dxa" w:w="671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8"/>
                <w:rtl/>
              </w:rPr>
              <w:t>مكتمل لأغراض العرض فقط - غير صالح للتوقيع أو الاعتماد.</w:t>
            </w:r>
          </w:p>
        </w:tc>
      </w:tr>
    </w:tbl>
    <w:p>
      <w:pPr>
        <w:keepNext w:val="0"/>
        <w:spacing w:before="0" w:after="20" w:line="240" w:lineRule="auto"/>
        <w:jc w:val="right"/>
        <w:bidi/>
      </w:pPr>
    </w:p>
    <w:p>
      <w:pPr>
        <w:pStyle w:val="Heading1"/>
        <w:keepNext/>
        <w:spacing w:before="360" w:after="80" w:line="264" w:lineRule="auto"/>
        <w:jc w:val="right"/>
        <w:bidi/>
      </w:pPr>
      <w:r>
        <w:rPr>
          <w:rFonts w:ascii="DejaVu Sans" w:hAnsi="DejaVu Sans" w:cs="DejaVu Sans"/>
          <w:b/>
          <w:i w:val="0"/>
          <w:color w:val="07172B"/>
          <w:sz w:val="32"/>
          <w:rtl/>
        </w:rPr>
        <w:t>08  اعتماد المثال</w:t>
      </w:r>
    </w:p>
    <w:p>
      <w:pPr>
        <w:keepNext/>
        <w:spacing w:before="0" w:after="160" w:line="240" w:lineRule="auto"/>
        <w:jc w:val="right"/>
        <w:bidi/>
      </w:pPr>
      <w:r>
        <w:rPr>
          <w:rFonts w:ascii="DejaVu Sans" w:hAnsi="DejaVu Sans" w:cs="DejaVu Sans"/>
          <w:b/>
          <w:i w:val="0"/>
          <w:color w:val="C9A85F"/>
          <w:sz w:val="15"/>
          <w:rtl/>
        </w:rPr>
        <w:t>ILLUSTRATIVE SIGN-OFF</w:t>
      </w:r>
    </w:p>
    <w:tbl>
      <w:tblPr>
        <w:tblW w:type="dxa" w:w="9360"/>
        <w:jc w:val="left"/>
        <w:tblLayout w:type="fixed"/>
        <w:tblLook w:firstColumn="1" w:firstRow="1" w:lastColumn="0" w:lastRow="0" w:noHBand="0" w:noVBand="1" w:val="04A0"/>
        <w:tblInd w:w="120" w:type="dxa"/>
      </w:tblPr>
      <w:tblGrid>
        <w:gridCol w:w="3000"/>
        <w:gridCol w:w="6360"/>
      </w:tblGrid>
      <w:tr>
        <w:tc>
          <w:tcPr>
            <w:tcW w:type="dxa" w:w="300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i w:val="0"/>
                <w:color w:val="07172B"/>
                <w:sz w:val="16"/>
                <w:rtl/>
              </w:rPr>
              <w:t>إعداد</w:t>
            </w:r>
          </w:p>
        </w:tc>
        <w:tc>
          <w:tcPr>
            <w:tcW w:type="dxa" w:w="636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7"/>
                <w:rtl/>
              </w:rPr>
              <w:t>Vertexes Advisory - مثال توضيحي</w:t>
            </w:r>
          </w:p>
        </w:tc>
      </w:tr>
      <w:tr>
        <w:tc>
          <w:tcPr>
            <w:tcW w:type="dxa" w:w="300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i w:val="0"/>
                <w:color w:val="07172B"/>
                <w:sz w:val="16"/>
                <w:rtl/>
              </w:rPr>
              <w:t>التوقيع</w:t>
            </w:r>
          </w:p>
        </w:tc>
        <w:tc>
          <w:tcPr>
            <w:tcW w:type="dxa" w:w="636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7"/>
                <w:rtl/>
              </w:rPr>
              <w:t>غير صالح للاعتماد</w:t>
            </w:r>
          </w:p>
        </w:tc>
      </w:tr>
      <w:tr>
        <w:tc>
          <w:tcPr>
            <w:tcW w:type="dxa" w:w="3000"/>
            <w:vAlign w:val="center"/>
            <w:tcMar>
              <w:top w:w="110" w:type="dxa"/>
              <w:start w:w="150" w:type="dxa"/>
              <w:bottom w:w="110" w:type="dxa"/>
              <w:end w:w="150" w:type="dxa"/>
            </w:tcMar>
            <w:shd w:fill="EEF1F3"/>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i w:val="0"/>
                <w:color w:val="07172B"/>
                <w:sz w:val="16"/>
                <w:rtl/>
              </w:rPr>
              <w:t>التاريخ</w:t>
            </w:r>
          </w:p>
        </w:tc>
        <w:tc>
          <w:tcPr>
            <w:tcW w:type="dxa" w:w="6360"/>
            <w:vAlign w:val="center"/>
            <w:tcMar>
              <w:top w:w="110" w:type="dxa"/>
              <w:start w:w="150" w:type="dxa"/>
              <w:bottom w:w="110" w:type="dxa"/>
              <w:end w:w="150" w:type="dxa"/>
            </w:tcMar>
            <w:shd w:fill="FFFFFF"/>
            <w:tcBorders>
              <w:top w:val="single" w:sz="6" w:color="D9E0E4"/>
              <w:left w:val="single" w:sz="6" w:color="D9E0E4"/>
              <w:bottom w:val="single" w:sz="6" w:color="D9E0E4"/>
              <w:right w:val="single" w:sz="6" w:color="D9E0E4"/>
            </w:tcBorders>
          </w:tcPr>
          <w:p>
            <w:pPr>
              <w:keepNext w:val="0"/>
              <w:spacing w:before="0" w:after="0" w:line="276" w:lineRule="auto"/>
              <w:jc w:val="right"/>
              <w:bidi/>
            </w:pPr>
            <w:r>
              <w:rPr>
                <w:rFonts w:ascii="DejaVu Sans" w:hAnsi="DejaVu Sans" w:cs="DejaVu Sans"/>
                <w:b w:val="0"/>
                <w:i w:val="0"/>
                <w:color w:val="152735"/>
                <w:sz w:val="17"/>
                <w:rtl/>
              </w:rPr>
              <w:t>21 أغسطس 2026</w:t>
            </w:r>
          </w:p>
        </w:tc>
      </w:tr>
    </w:tbl>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130" w:type="dxa"/>
              <w:start w:w="180" w:type="dxa"/>
              <w:bottom w:w="130" w:type="dxa"/>
              <w:end w:w="180" w:type="dxa"/>
            </w:tcMar>
            <w:shd w:fill="F6F1E7"/>
            <w:tcBorders>
              <w:right w:val="single" w:sz="8" w:color="C9A85F"/>
            </w:tcBorders>
          </w:tcPr>
          <w:p>
            <w:pPr>
              <w:keepNext w:val="0"/>
              <w:spacing w:before="0" w:after="40" w:line="276" w:lineRule="auto"/>
              <w:jc w:val="right"/>
              <w:bidi/>
            </w:pPr>
            <w:r>
              <w:rPr>
                <w:rFonts w:ascii="DejaVu Sans" w:hAnsi="DejaVu Sans" w:cs="DejaVu Sans"/>
                <w:b/>
                <w:i w:val="0"/>
                <w:color w:val="07172B"/>
                <w:sz w:val="19"/>
                <w:rtl/>
              </w:rPr>
              <w:t>للحصول على استشارة فعلية</w:t>
            </w:r>
          </w:p>
          <w:p>
            <w:pPr>
              <w:keepNext w:val="0"/>
              <w:spacing w:before="0" w:after="0" w:line="300" w:lineRule="auto"/>
              <w:jc w:val="right"/>
              <w:bidi/>
            </w:pPr>
            <w:r>
              <w:rPr>
                <w:rFonts w:ascii="DejaVu Sans" w:hAnsi="DejaVu Sans" w:cs="DejaVu Sans"/>
                <w:b w:val="0"/>
                <w:i w:val="0"/>
                <w:color w:val="152735"/>
                <w:sz w:val="17"/>
                <w:rtl/>
              </w:rPr>
              <w:t>يُرجى تعبئة نموذج طلب الاستشارة وإعادته إلى appointments@vertexesadvisory.com أو حجز موعد من www.vertexesadvisory.com/consultations.</w:t>
            </w:r>
          </w:p>
        </w:tc>
      </w:tr>
    </w:tbl>
    <w:p>
      <w:pPr>
        <w:keepNext w:val="0"/>
        <w:spacing w:before="0" w:after="40" w:line="240" w:lineRule="auto"/>
        <w:jc w:val="right"/>
        <w:bidi/>
      </w:pPr>
    </w:p>
    <w:sectPr>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40" w:lineRule="auto"/>
      <w:jc w:val="center"/>
    </w:pPr>
    <w:r>
      <w:rPr>
        <w:rFonts w:ascii="DejaVu Sans" w:hAnsi="DejaVu Sans" w:cs="DejaVu Sans"/>
        <w:b/>
        <w:i w:val="0"/>
        <w:color w:val="C9A85F"/>
        <w:sz w:val="17"/>
      </w:rPr>
      <w:t xml:space="preserve">VERTEXES ADVISORY  |  </w:t>
    </w:r>
    <w:r>
      <w:rPr>
        <w:rFonts w:ascii="DejaVu Sans" w:hAnsi="DejaVu Sans" w:cs="DejaVu Sans"/>
        <w:b w:val="0"/>
        <w:i w:val="0"/>
        <w:color w:val="687783"/>
        <w:sz w:val="17"/>
      </w:rPr>
      <w:fldChar w:fldCharType="begin"/>
      <w:instrText xml:space="preserve">PAGE</w:instrText>
      <w:fldChar w:fldCharType="separate"/>
      <w:t>1</w:t>
      <w:fldChar w:fldCharType="end"/>
    </w:r>
    <w:r>
      <w:rPr>
        <w:rFonts w:ascii="DejaVu Sans" w:hAnsi="DejaVu Sans" w:cs="DejaVu Sans"/>
        <w:b w:val="0"/>
        <w:i w:val="0"/>
        <w:color w:val="687783"/>
        <w:sz w:val="17"/>
      </w:rPr>
      <w:t xml:space="preserve"> / </w:t>
    </w:r>
    <w:r>
      <w:rPr>
        <w:rFonts w:ascii="DejaVu Sans" w:hAnsi="DejaVu Sans" w:cs="DejaVu Sans"/>
        <w:b w:val="0"/>
        <w:i w:val="0"/>
        <w:color w:val="687783"/>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spacing w:before="0" w:after="0" w:line="240" w:lineRule="auto"/>
      <w:jc w:val="right"/>
      <w:bidi/>
      <w:pBdr>
        <w:bottom w:val="single" w:sz="6" w:space="4" w:color="C9A85F"/>
      </w:pBdr>
    </w:pPr>
    <w:r>
      <w:rPr>
        <w:rFonts w:ascii="DejaVu Sans" w:hAnsi="DejaVu Sans" w:cs="DejaVu Sans"/>
        <w:b/>
        <w:i w:val="0"/>
        <w:color w:val="687783"/>
        <w:sz w:val="17"/>
        <w:rtl/>
      </w:rPr>
      <w:t>مثال استشارة مكتملة - افتراضي | Illustrative Completed Consultation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DejaVu Sans" w:hAnsi="DejaVu Sans" w:cs="DejaVu Sans"/>
      <w:color w:val="15273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DejaVu Sans" w:hAnsi="DejaVu Sans" w:cs="DejaVu Sans"/>
      <w:b/>
      <w:bCs/>
      <w:color w:val="07172B"/>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DejaVu Sans" w:hAnsi="DejaVu Sans" w:cs="DejaVu Sans"/>
      <w:b/>
      <w:bCs/>
      <w:color w:val="07172B"/>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DejaVu Sans" w:hAnsi="DejaVu Sans" w:cs="DejaVu Sans"/>
      <w:b/>
      <w:bCs/>
      <w:color w:val="245A5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Illustrative Completed Consultation - Vertexes Advisory</dc:title>
  <dc:subject>Fictional consultation sample for website demonstration</dc:subject>
  <dc:creator/>
  <cp:keywords>Vertexes Advisory, illustrative consultation, feasibility, governance</cp:keywords>
  <dc:description>generated by python-docx</dc:description>
  <cp:lastModifiedBy/>
  <cp:revision>1</cp:revision>
  <dcterms:created xsi:type="dcterms:W3CDTF">2013-12-23T23:15:00Z</dcterms:created>
  <dcterms:modified xsi:type="dcterms:W3CDTF">2013-12-23T23:15:00Z</dcterms:modified>
  <cp:category/>
</cp:coreProperties>
</file>